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6A5" w:rsidRPr="00C644B6" w:rsidRDefault="00C616A5" w:rsidP="00AA6770">
      <w:pPr>
        <w:bidi w:val="0"/>
        <w:spacing w:before="100" w:beforeAutospacing="1" w:after="100" w:afterAutospacing="1" w:line="240" w:lineRule="auto"/>
        <w:jc w:val="both"/>
        <w:rPr>
          <w:rFonts w:ascii="Times New Roman" w:hAnsi="Times New Roman" w:cs="Times New Roman"/>
          <w:b/>
          <w:bCs/>
          <w:sz w:val="24"/>
          <w:szCs w:val="24"/>
          <w:rtl/>
        </w:rPr>
      </w:pPr>
      <w:r w:rsidRPr="00C644B6">
        <w:rPr>
          <w:rFonts w:ascii="Times New Roman" w:hAnsi="Times New Roman" w:cs="Times New Roman"/>
          <w:b/>
          <w:bCs/>
          <w:sz w:val="24"/>
          <w:szCs w:val="24"/>
        </w:rPr>
        <w:t>Prohibition of Genetic Intervention (H</w:t>
      </w:r>
      <w:bookmarkStart w:id="0" w:name="_GoBack"/>
      <w:bookmarkEnd w:id="0"/>
      <w:r w:rsidRPr="00C644B6">
        <w:rPr>
          <w:rFonts w:ascii="Times New Roman" w:hAnsi="Times New Roman" w:cs="Times New Roman"/>
          <w:b/>
          <w:bCs/>
          <w:sz w:val="24"/>
          <w:szCs w:val="24"/>
        </w:rPr>
        <w:t>uman Cloning and Genetic Manipulation of Reproductive Cells), Law, 5759-1999</w:t>
      </w:r>
      <w:r w:rsidRPr="00C644B6">
        <w:rPr>
          <w:rStyle w:val="FootnoteReference"/>
          <w:rFonts w:ascii="Times New Roman" w:hAnsi="Times New Roman" w:cs="Times New Roman"/>
          <w:b/>
          <w:bCs/>
          <w:sz w:val="24"/>
          <w:szCs w:val="24"/>
          <w:rtl/>
        </w:rPr>
        <w:footnoteReference w:customMarkFollows="1" w:id="1"/>
        <w:sym w:font="Symbol" w:char="F02A"/>
      </w:r>
    </w:p>
    <w:tbl>
      <w:tblPr>
        <w:tblStyle w:val="TableGrid"/>
        <w:tblW w:w="9805" w:type="dxa"/>
        <w:tblLook w:val="04A0" w:firstRow="1" w:lastRow="0" w:firstColumn="1" w:lastColumn="0" w:noHBand="0" w:noVBand="1"/>
      </w:tblPr>
      <w:tblGrid>
        <w:gridCol w:w="2456"/>
        <w:gridCol w:w="509"/>
        <w:gridCol w:w="6840"/>
      </w:tblGrid>
      <w:tr w:rsidR="00B87E0B" w:rsidRPr="009E626A" w:rsidTr="00B87E0B">
        <w:tc>
          <w:tcPr>
            <w:tcW w:w="2456"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Purpose of Law</w:t>
            </w:r>
          </w:p>
        </w:tc>
        <w:tc>
          <w:tcPr>
            <w:tcW w:w="509"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1.</w:t>
            </w:r>
          </w:p>
        </w:tc>
        <w:tc>
          <w:tcPr>
            <w:tcW w:w="6840"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proofErr w:type="gramStart"/>
            <w:r w:rsidRPr="009E626A">
              <w:rPr>
                <w:rFonts w:ascii="Times New Roman" w:hAnsi="Times New Roman" w:cs="Times New Roman"/>
                <w:sz w:val="24"/>
                <w:szCs w:val="24"/>
              </w:rPr>
              <w:t>The purpose of this law is to prevent reproductive cloning in humans by</w:t>
            </w:r>
            <w:r w:rsidRPr="009E626A">
              <w:rPr>
                <w:rFonts w:ascii="Times New Roman" w:hAnsi="Times New Roman" w:cs="Times New Roman"/>
                <w:sz w:val="24"/>
                <w:szCs w:val="24"/>
                <w:rtl/>
              </w:rPr>
              <w:t xml:space="preserve"> </w:t>
            </w:r>
            <w:r w:rsidRPr="009E626A">
              <w:rPr>
                <w:rFonts w:ascii="Times New Roman" w:hAnsi="Times New Roman" w:cs="Times New Roman"/>
                <w:sz w:val="24"/>
                <w:szCs w:val="24"/>
              </w:rPr>
              <w:t>establishing that certain kinds of genetic interventions shall not be performed on human beings in view of the moral, legal, social and scientific aspects of the prohibited forms of intervention and their implications on human dignity, and in order to asses public policy regarding those kinds of intervention in view of those aspects, considering freedom of scientific research for the advancement of medicine.</w:t>
            </w:r>
            <w:proofErr w:type="gramEnd"/>
          </w:p>
        </w:tc>
      </w:tr>
      <w:tr w:rsidR="00B87E0B" w:rsidRPr="009E626A" w:rsidTr="00B87E0B">
        <w:tc>
          <w:tcPr>
            <w:tcW w:w="2456" w:type="dxa"/>
          </w:tcPr>
          <w:p w:rsidR="00F87C7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Definitions</w:t>
            </w:r>
          </w:p>
          <w:p w:rsidR="00F87C7A" w:rsidRPr="00F87C7A" w:rsidRDefault="00F87C7A" w:rsidP="00AA6770">
            <w:pPr>
              <w:bidi w:val="0"/>
              <w:rPr>
                <w:rFonts w:ascii="Times New Roman" w:hAnsi="Times New Roman" w:cs="Times New Roman"/>
                <w:sz w:val="24"/>
                <w:szCs w:val="24"/>
              </w:rPr>
            </w:pPr>
          </w:p>
          <w:p w:rsidR="00F87C7A" w:rsidRPr="00F87C7A" w:rsidRDefault="00F87C7A" w:rsidP="00AA6770">
            <w:pPr>
              <w:bidi w:val="0"/>
              <w:rPr>
                <w:rFonts w:ascii="Times New Roman" w:hAnsi="Times New Roman" w:cs="Times New Roman"/>
                <w:sz w:val="24"/>
                <w:szCs w:val="24"/>
              </w:rPr>
            </w:pPr>
          </w:p>
          <w:p w:rsidR="00F87C7A" w:rsidRPr="00F87C7A" w:rsidRDefault="00F87C7A" w:rsidP="00AA6770">
            <w:pPr>
              <w:bidi w:val="0"/>
              <w:rPr>
                <w:rFonts w:ascii="Times New Roman" w:hAnsi="Times New Roman" w:cs="Times New Roman"/>
                <w:sz w:val="24"/>
                <w:szCs w:val="24"/>
              </w:rPr>
            </w:pPr>
          </w:p>
          <w:p w:rsidR="00F87C7A" w:rsidRPr="00F87C7A" w:rsidRDefault="00F87C7A" w:rsidP="00AA6770">
            <w:pPr>
              <w:bidi w:val="0"/>
              <w:rPr>
                <w:rFonts w:ascii="Times New Roman" w:hAnsi="Times New Roman" w:cs="Times New Roman"/>
                <w:sz w:val="24"/>
                <w:szCs w:val="24"/>
              </w:rPr>
            </w:pPr>
          </w:p>
          <w:p w:rsidR="00F87C7A" w:rsidRPr="00F87C7A" w:rsidRDefault="00F87C7A" w:rsidP="00AA6770">
            <w:pPr>
              <w:bidi w:val="0"/>
              <w:rPr>
                <w:rFonts w:ascii="Times New Roman" w:hAnsi="Times New Roman" w:cs="Times New Roman"/>
                <w:sz w:val="24"/>
                <w:szCs w:val="24"/>
              </w:rPr>
            </w:pPr>
          </w:p>
          <w:p w:rsidR="00F87C7A" w:rsidRDefault="00F87C7A" w:rsidP="00AA6770">
            <w:pPr>
              <w:bidi w:val="0"/>
              <w:rPr>
                <w:rFonts w:ascii="Times New Roman" w:hAnsi="Times New Roman" w:cs="Times New Roman"/>
                <w:sz w:val="24"/>
                <w:szCs w:val="24"/>
              </w:rPr>
            </w:pPr>
          </w:p>
          <w:p w:rsidR="00F87C7A" w:rsidRPr="00F87C7A" w:rsidRDefault="00F87C7A" w:rsidP="00AA6770">
            <w:pPr>
              <w:bidi w:val="0"/>
              <w:rPr>
                <w:rFonts w:ascii="Times New Roman" w:hAnsi="Times New Roman" w:cs="Times New Roman"/>
                <w:sz w:val="24"/>
                <w:szCs w:val="24"/>
              </w:rPr>
            </w:pPr>
          </w:p>
          <w:p w:rsidR="00F87C7A" w:rsidRDefault="00F87C7A" w:rsidP="00AA6770">
            <w:pPr>
              <w:bidi w:val="0"/>
              <w:rPr>
                <w:rFonts w:ascii="Times New Roman" w:hAnsi="Times New Roman" w:cs="Times New Roman"/>
                <w:sz w:val="24"/>
                <w:szCs w:val="24"/>
              </w:rPr>
            </w:pPr>
          </w:p>
          <w:p w:rsidR="00F87C7A" w:rsidRDefault="00F87C7A" w:rsidP="00AA6770">
            <w:pPr>
              <w:bidi w:val="0"/>
              <w:rPr>
                <w:rFonts w:ascii="Times New Roman" w:hAnsi="Times New Roman" w:cs="Times New Roman"/>
                <w:sz w:val="24"/>
                <w:szCs w:val="24"/>
              </w:rPr>
            </w:pPr>
          </w:p>
          <w:p w:rsidR="00F87C7A" w:rsidRDefault="00F87C7A" w:rsidP="00AA6770">
            <w:pPr>
              <w:bidi w:val="0"/>
              <w:rPr>
                <w:rFonts w:ascii="Times New Roman" w:hAnsi="Times New Roman" w:cs="Times New Roman"/>
                <w:sz w:val="24"/>
                <w:szCs w:val="24"/>
              </w:rPr>
            </w:pPr>
          </w:p>
          <w:p w:rsidR="00C616A5" w:rsidRPr="00F87C7A" w:rsidRDefault="00C616A5" w:rsidP="00AA6770">
            <w:pPr>
              <w:bidi w:val="0"/>
              <w:jc w:val="right"/>
              <w:rPr>
                <w:rFonts w:ascii="Times New Roman" w:hAnsi="Times New Roman" w:cs="Times New Roman"/>
                <w:sz w:val="24"/>
                <w:szCs w:val="24"/>
              </w:rPr>
            </w:pPr>
          </w:p>
        </w:tc>
        <w:tc>
          <w:tcPr>
            <w:tcW w:w="509"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2.</w:t>
            </w:r>
          </w:p>
        </w:tc>
        <w:tc>
          <w:tcPr>
            <w:tcW w:w="6840"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 xml:space="preserve">In this law – </w:t>
            </w:r>
          </w:p>
          <w:p w:rsidR="00C616A5" w:rsidRPr="009E626A" w:rsidRDefault="00F87C7A" w:rsidP="00AA6770">
            <w:pPr>
              <w:bidi w:val="0"/>
              <w:spacing w:before="100" w:beforeAutospacing="1" w:after="100" w:afterAutospacing="1"/>
              <w:jc w:val="both"/>
              <w:rPr>
                <w:rFonts w:ascii="Times New Roman" w:hAnsi="Times New Roman" w:cs="Times New Roman"/>
                <w:sz w:val="24"/>
                <w:szCs w:val="24"/>
              </w:rPr>
            </w:pPr>
            <w:r>
              <w:rPr>
                <w:rFonts w:ascii="Times New Roman" w:hAnsi="Times New Roman" w:cs="Times New Roman"/>
                <w:b/>
                <w:bCs/>
                <w:sz w:val="24"/>
                <w:szCs w:val="24"/>
              </w:rPr>
              <w:t>"Advisory C</w:t>
            </w:r>
            <w:r w:rsidR="00C616A5" w:rsidRPr="009E626A">
              <w:rPr>
                <w:rFonts w:ascii="Times New Roman" w:hAnsi="Times New Roman" w:cs="Times New Roman"/>
                <w:b/>
                <w:bCs/>
                <w:sz w:val="24"/>
                <w:szCs w:val="24"/>
              </w:rPr>
              <w:t xml:space="preserve">ommittee" – </w:t>
            </w:r>
            <w:r>
              <w:rPr>
                <w:rFonts w:ascii="Times New Roman" w:hAnsi="Times New Roman" w:cs="Times New Roman"/>
                <w:sz w:val="24"/>
                <w:szCs w:val="24"/>
              </w:rPr>
              <w:t>The S</w:t>
            </w:r>
            <w:r w:rsidR="00C616A5" w:rsidRPr="009E626A">
              <w:rPr>
                <w:rFonts w:ascii="Times New Roman" w:hAnsi="Times New Roman" w:cs="Times New Roman"/>
                <w:sz w:val="24"/>
                <w:szCs w:val="24"/>
              </w:rPr>
              <w:t>upreme Helsinki Committee appointed un</w:t>
            </w:r>
            <w:r>
              <w:rPr>
                <w:rFonts w:ascii="Times New Roman" w:hAnsi="Times New Roman" w:cs="Times New Roman"/>
                <w:sz w:val="24"/>
                <w:szCs w:val="24"/>
              </w:rPr>
              <w:t>der the Public Health (Medical E</w:t>
            </w:r>
            <w:r w:rsidR="00C616A5" w:rsidRPr="009E626A">
              <w:rPr>
                <w:rFonts w:ascii="Times New Roman" w:hAnsi="Times New Roman" w:cs="Times New Roman"/>
                <w:sz w:val="24"/>
                <w:szCs w:val="24"/>
              </w:rPr>
              <w:t>xperiments on Humans) Regulations 5741-1980;</w:t>
            </w:r>
          </w:p>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b/>
                <w:bCs/>
                <w:sz w:val="24"/>
                <w:szCs w:val="24"/>
              </w:rPr>
              <w:t>"Human Cloning"</w:t>
            </w:r>
            <w:r w:rsidRPr="009E626A">
              <w:rPr>
                <w:rFonts w:ascii="Times New Roman" w:hAnsi="Times New Roman" w:cs="Times New Roman"/>
                <w:sz w:val="24"/>
                <w:szCs w:val="24"/>
              </w:rPr>
              <w:t xml:space="preserve">- "human reproductive cloning" – any of the following: </w:t>
            </w:r>
          </w:p>
          <w:p w:rsidR="00C616A5" w:rsidRPr="009E626A" w:rsidRDefault="00C616A5" w:rsidP="00AA6770">
            <w:pPr>
              <w:pStyle w:val="ListParagraph"/>
              <w:numPr>
                <w:ilvl w:val="0"/>
                <w:numId w:val="2"/>
              </w:numPr>
              <w:bidi w:val="0"/>
              <w:spacing w:before="100" w:beforeAutospacing="1" w:after="100" w:afterAutospacing="1"/>
              <w:ind w:firstLine="0"/>
              <w:jc w:val="both"/>
              <w:rPr>
                <w:rFonts w:ascii="Times New Roman" w:hAnsi="Times New Roman" w:cs="Times New Roman"/>
                <w:sz w:val="24"/>
                <w:szCs w:val="24"/>
              </w:rPr>
            </w:pPr>
            <w:r w:rsidRPr="009E626A">
              <w:rPr>
                <w:rFonts w:ascii="Times New Roman" w:hAnsi="Times New Roman" w:cs="Times New Roman"/>
                <w:sz w:val="24"/>
                <w:szCs w:val="24"/>
              </w:rPr>
              <w:t>The creation of a human embryo genetically identical to another, person or embryo, alive or dead (in this law – a "cloned" embryo);</w:t>
            </w:r>
          </w:p>
          <w:p w:rsidR="00C616A5" w:rsidRPr="009E626A" w:rsidRDefault="00C616A5" w:rsidP="00AA6770">
            <w:pPr>
              <w:pStyle w:val="ListParagraph"/>
              <w:numPr>
                <w:ilvl w:val="0"/>
                <w:numId w:val="2"/>
              </w:numPr>
              <w:bidi w:val="0"/>
              <w:spacing w:before="100" w:beforeAutospacing="1" w:after="100" w:afterAutospacing="1"/>
              <w:ind w:firstLine="0"/>
              <w:jc w:val="both"/>
              <w:rPr>
                <w:rFonts w:ascii="Times New Roman" w:hAnsi="Times New Roman" w:cs="Times New Roman"/>
                <w:sz w:val="24"/>
                <w:szCs w:val="24"/>
              </w:rPr>
            </w:pPr>
            <w:r w:rsidRPr="009E626A">
              <w:rPr>
                <w:rFonts w:ascii="Times New Roman" w:hAnsi="Times New Roman" w:cs="Times New Roman"/>
                <w:sz w:val="24"/>
                <w:szCs w:val="24"/>
              </w:rPr>
              <w:t>The insertion of a cloned embryo into the uterus of a woman or another womb or body.</w:t>
            </w:r>
          </w:p>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b/>
                <w:bCs/>
                <w:sz w:val="24"/>
                <w:szCs w:val="24"/>
              </w:rPr>
              <w:t xml:space="preserve">"reproductive cell" </w:t>
            </w:r>
            <w:r w:rsidRPr="009E626A">
              <w:rPr>
                <w:rFonts w:ascii="Times New Roman" w:hAnsi="Times New Roman" w:cs="Times New Roman"/>
                <w:sz w:val="24"/>
                <w:szCs w:val="24"/>
              </w:rPr>
              <w:t>– human spermatozoon or ovum;</w:t>
            </w:r>
          </w:p>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b/>
                <w:bCs/>
                <w:sz w:val="24"/>
                <w:szCs w:val="24"/>
              </w:rPr>
              <w:t xml:space="preserve">"The Minister" </w:t>
            </w:r>
            <w:r w:rsidRPr="009E626A">
              <w:rPr>
                <w:rFonts w:ascii="Times New Roman" w:hAnsi="Times New Roman" w:cs="Times New Roman"/>
                <w:sz w:val="24"/>
                <w:szCs w:val="24"/>
              </w:rPr>
              <w:t xml:space="preserve">– The Minister of Health. </w:t>
            </w:r>
          </w:p>
        </w:tc>
      </w:tr>
      <w:tr w:rsidR="00B87E0B" w:rsidRPr="009E626A" w:rsidTr="00B87E0B">
        <w:tc>
          <w:tcPr>
            <w:tcW w:w="2456"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Prohibited actions</w:t>
            </w:r>
          </w:p>
        </w:tc>
        <w:tc>
          <w:tcPr>
            <w:tcW w:w="509"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3.</w:t>
            </w:r>
          </w:p>
        </w:tc>
        <w:tc>
          <w:tcPr>
            <w:tcW w:w="6840"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Throughout the period during which this law is in force, no person shall perform any of the following acts:</w:t>
            </w:r>
          </w:p>
          <w:p w:rsidR="00C616A5" w:rsidRPr="009E626A" w:rsidRDefault="00C616A5" w:rsidP="00AA6770">
            <w:pPr>
              <w:pStyle w:val="ListParagraph"/>
              <w:numPr>
                <w:ilvl w:val="0"/>
                <w:numId w:val="1"/>
              </w:numPr>
              <w:bidi w:val="0"/>
              <w:spacing w:before="100" w:beforeAutospacing="1" w:after="100" w:afterAutospacing="1"/>
              <w:ind w:firstLine="0"/>
              <w:jc w:val="both"/>
              <w:rPr>
                <w:rFonts w:ascii="Times New Roman" w:hAnsi="Times New Roman" w:cs="Times New Roman"/>
                <w:sz w:val="24"/>
                <w:szCs w:val="24"/>
              </w:rPr>
            </w:pPr>
            <w:r w:rsidRPr="009E626A">
              <w:rPr>
                <w:rFonts w:ascii="Times New Roman" w:hAnsi="Times New Roman" w:cs="Times New Roman"/>
                <w:sz w:val="24"/>
                <w:szCs w:val="24"/>
              </w:rPr>
              <w:t>Human cloning – human reproductive cloning;</w:t>
            </w:r>
          </w:p>
          <w:p w:rsidR="00C616A5" w:rsidRPr="009E626A" w:rsidRDefault="00C616A5" w:rsidP="00AA6770">
            <w:pPr>
              <w:pStyle w:val="ListParagraph"/>
              <w:numPr>
                <w:ilvl w:val="0"/>
                <w:numId w:val="1"/>
              </w:numPr>
              <w:bidi w:val="0"/>
              <w:spacing w:before="100" w:beforeAutospacing="1" w:after="100" w:afterAutospacing="1"/>
              <w:ind w:firstLine="0"/>
              <w:jc w:val="both"/>
              <w:rPr>
                <w:rFonts w:ascii="Times New Roman" w:hAnsi="Times New Roman" w:cs="Times New Roman"/>
                <w:sz w:val="24"/>
                <w:szCs w:val="24"/>
              </w:rPr>
            </w:pPr>
            <w:r w:rsidRPr="009E626A">
              <w:rPr>
                <w:rFonts w:ascii="Times New Roman" w:hAnsi="Times New Roman" w:cs="Times New Roman"/>
                <w:sz w:val="24"/>
                <w:szCs w:val="24"/>
              </w:rPr>
              <w:t>Using reproductive cells that have undergone a permanent intenti</w:t>
            </w:r>
            <w:r w:rsidR="00F87C7A">
              <w:rPr>
                <w:rFonts w:ascii="Times New Roman" w:hAnsi="Times New Roman" w:cs="Times New Roman"/>
                <w:sz w:val="24"/>
                <w:szCs w:val="24"/>
              </w:rPr>
              <w:t>onal genetic modification (germ</w:t>
            </w:r>
            <w:r w:rsidRPr="009E626A">
              <w:rPr>
                <w:rFonts w:ascii="Times New Roman" w:hAnsi="Times New Roman" w:cs="Times New Roman"/>
                <w:sz w:val="24"/>
                <w:szCs w:val="24"/>
              </w:rPr>
              <w:t>line gene therapy) in order to cause the creation of a person.</w:t>
            </w:r>
          </w:p>
        </w:tc>
      </w:tr>
      <w:tr w:rsidR="00B87E0B" w:rsidRPr="009E626A" w:rsidTr="00B87E0B">
        <w:tc>
          <w:tcPr>
            <w:tcW w:w="2456" w:type="dxa"/>
          </w:tcPr>
          <w:p w:rsidR="00C616A5" w:rsidRPr="009E626A" w:rsidRDefault="00F87C7A" w:rsidP="00AA6770">
            <w:pPr>
              <w:bidi w:val="0"/>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Advisory C</w:t>
            </w:r>
            <w:r w:rsidR="00C616A5" w:rsidRPr="009E626A">
              <w:rPr>
                <w:rFonts w:ascii="Times New Roman" w:hAnsi="Times New Roman" w:cs="Times New Roman"/>
                <w:sz w:val="24"/>
                <w:szCs w:val="24"/>
              </w:rPr>
              <w:t>ommittee duty and powers</w:t>
            </w:r>
          </w:p>
        </w:tc>
        <w:tc>
          <w:tcPr>
            <w:tcW w:w="509"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4.</w:t>
            </w:r>
          </w:p>
        </w:tc>
        <w:tc>
          <w:tcPr>
            <w:tcW w:w="6840" w:type="dxa"/>
          </w:tcPr>
          <w:p w:rsidR="00C616A5" w:rsidRPr="009E626A" w:rsidRDefault="00F87C7A" w:rsidP="00AA6770">
            <w:pPr>
              <w:bidi w:val="0"/>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Advisory C</w:t>
            </w:r>
            <w:r w:rsidR="00C616A5" w:rsidRPr="009E626A">
              <w:rPr>
                <w:rFonts w:ascii="Times New Roman" w:hAnsi="Times New Roman" w:cs="Times New Roman"/>
                <w:sz w:val="24"/>
                <w:szCs w:val="24"/>
              </w:rPr>
              <w:t>ommittee –</w:t>
            </w:r>
          </w:p>
          <w:p w:rsidR="00C616A5" w:rsidRPr="009E626A" w:rsidRDefault="00C616A5" w:rsidP="00AA6770">
            <w:pPr>
              <w:bidi w:val="0"/>
              <w:spacing w:before="100" w:beforeAutospacing="1" w:after="100" w:afterAutospacing="1"/>
              <w:ind w:left="567"/>
              <w:jc w:val="both"/>
              <w:rPr>
                <w:rFonts w:ascii="Times New Roman" w:hAnsi="Times New Roman" w:cs="Times New Roman"/>
                <w:sz w:val="24"/>
                <w:szCs w:val="24"/>
              </w:rPr>
            </w:pPr>
            <w:r w:rsidRPr="009E626A">
              <w:rPr>
                <w:rFonts w:ascii="Times New Roman" w:hAnsi="Times New Roman" w:cs="Times New Roman"/>
                <w:sz w:val="24"/>
                <w:szCs w:val="24"/>
              </w:rPr>
              <w:tab/>
              <w:t>(1)</w:t>
            </w:r>
            <w:r w:rsidRPr="009E626A">
              <w:rPr>
                <w:rFonts w:ascii="Times New Roman" w:hAnsi="Times New Roman" w:cs="Times New Roman"/>
                <w:sz w:val="24"/>
                <w:szCs w:val="24"/>
              </w:rPr>
              <w:tab/>
              <w:t>shall follow developments in medicine, science, biotechnology, bioethics and law in the field of genetic experimentations on human beings in Israel and abroad;</w:t>
            </w:r>
          </w:p>
          <w:p w:rsidR="00C616A5" w:rsidRPr="009E626A" w:rsidRDefault="00C616A5" w:rsidP="00AA6770">
            <w:pPr>
              <w:bidi w:val="0"/>
              <w:spacing w:before="100" w:beforeAutospacing="1" w:after="100" w:afterAutospacing="1"/>
              <w:ind w:left="567"/>
              <w:jc w:val="both"/>
              <w:rPr>
                <w:rFonts w:ascii="Times New Roman" w:hAnsi="Times New Roman" w:cs="Times New Roman"/>
                <w:sz w:val="24"/>
                <w:szCs w:val="24"/>
              </w:rPr>
            </w:pPr>
            <w:r w:rsidRPr="009E626A">
              <w:rPr>
                <w:rFonts w:ascii="Times New Roman" w:hAnsi="Times New Roman" w:cs="Times New Roman"/>
                <w:sz w:val="24"/>
                <w:szCs w:val="24"/>
              </w:rPr>
              <w:lastRenderedPageBreak/>
              <w:tab/>
              <w:t>(2)</w:t>
            </w:r>
            <w:r w:rsidRPr="009E626A">
              <w:rPr>
                <w:rFonts w:ascii="Times New Roman" w:hAnsi="Times New Roman" w:cs="Times New Roman"/>
                <w:sz w:val="24"/>
                <w:szCs w:val="24"/>
              </w:rPr>
              <w:tab/>
              <w:t>shall submit to the Minister and to the Science and Technology Committee of the Knesset an annual report, on the summary of the developments referred to in paragraph (1); The report and summary shall be submitted annually, no later than March 1;</w:t>
            </w:r>
          </w:p>
          <w:p w:rsidR="00C616A5" w:rsidRPr="009E626A" w:rsidRDefault="00C616A5" w:rsidP="00AA6770">
            <w:pPr>
              <w:bidi w:val="0"/>
              <w:spacing w:before="100" w:beforeAutospacing="1" w:after="100" w:afterAutospacing="1"/>
              <w:ind w:left="567"/>
              <w:jc w:val="both"/>
              <w:rPr>
                <w:rFonts w:ascii="Times New Roman" w:hAnsi="Times New Roman" w:cs="Times New Roman"/>
                <w:sz w:val="24"/>
                <w:szCs w:val="24"/>
              </w:rPr>
            </w:pPr>
            <w:r w:rsidRPr="009E626A">
              <w:rPr>
                <w:rFonts w:ascii="Times New Roman" w:hAnsi="Times New Roman" w:cs="Times New Roman"/>
                <w:sz w:val="24"/>
                <w:szCs w:val="24"/>
              </w:rPr>
              <w:tab/>
              <w:t>(3)</w:t>
            </w:r>
            <w:r w:rsidRPr="009E626A">
              <w:rPr>
                <w:rFonts w:ascii="Times New Roman" w:hAnsi="Times New Roman" w:cs="Times New Roman"/>
                <w:sz w:val="24"/>
                <w:szCs w:val="24"/>
              </w:rPr>
              <w:tab/>
            </w:r>
            <w:proofErr w:type="gramStart"/>
            <w:r w:rsidRPr="009E626A">
              <w:rPr>
                <w:rFonts w:ascii="Times New Roman" w:hAnsi="Times New Roman" w:cs="Times New Roman"/>
                <w:sz w:val="24"/>
                <w:szCs w:val="24"/>
              </w:rPr>
              <w:t>shall</w:t>
            </w:r>
            <w:proofErr w:type="gramEnd"/>
            <w:r w:rsidRPr="009E626A">
              <w:rPr>
                <w:rFonts w:ascii="Times New Roman" w:hAnsi="Times New Roman" w:cs="Times New Roman"/>
                <w:sz w:val="24"/>
                <w:szCs w:val="24"/>
              </w:rPr>
              <w:t xml:space="preserve"> advise the Minister on the matter of genetic experimentations on human beings and shall provide him with its recommendations concerning the prohibitions set out in section 3.</w:t>
            </w:r>
          </w:p>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(b)</w:t>
            </w:r>
            <w:r w:rsidRPr="009E626A">
              <w:rPr>
                <w:rFonts w:ascii="Times New Roman" w:hAnsi="Times New Roman" w:cs="Times New Roman"/>
                <w:sz w:val="24"/>
                <w:szCs w:val="24"/>
              </w:rPr>
              <w:tab/>
              <w:t>The Minister shall establish regulations concerning the exercise of the powers of the Advisory Committee according to this law; such regulation shall also include powers of supervision and control.</w:t>
            </w:r>
          </w:p>
        </w:tc>
      </w:tr>
      <w:tr w:rsidR="00B87E0B" w:rsidRPr="009E626A" w:rsidTr="00B87E0B">
        <w:tc>
          <w:tcPr>
            <w:tcW w:w="2456"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lastRenderedPageBreak/>
              <w:t>Permission for certain types of genetic intervention</w:t>
            </w:r>
          </w:p>
        </w:tc>
        <w:tc>
          <w:tcPr>
            <w:tcW w:w="509"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5.</w:t>
            </w:r>
          </w:p>
        </w:tc>
        <w:tc>
          <w:tcPr>
            <w:tcW w:w="6840"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(a)</w:t>
            </w:r>
            <w:r w:rsidRPr="009E626A">
              <w:rPr>
                <w:rFonts w:ascii="Times New Roman" w:hAnsi="Times New Roman" w:cs="Times New Roman"/>
                <w:sz w:val="24"/>
                <w:szCs w:val="24"/>
              </w:rPr>
              <w:tab/>
              <w:t xml:space="preserve">Notwithstanding the provisions of section 3, the Minister may, if he is of the opinion that human dignity will not be prejudiced, upon the </w:t>
            </w:r>
            <w:r w:rsidR="00F87C7A">
              <w:rPr>
                <w:rFonts w:ascii="Times New Roman" w:hAnsi="Times New Roman" w:cs="Times New Roman"/>
                <w:sz w:val="24"/>
                <w:szCs w:val="24"/>
              </w:rPr>
              <w:t>recommendation of the Advisory C</w:t>
            </w:r>
            <w:r w:rsidRPr="009E626A">
              <w:rPr>
                <w:rFonts w:ascii="Times New Roman" w:hAnsi="Times New Roman" w:cs="Times New Roman"/>
                <w:sz w:val="24"/>
                <w:szCs w:val="24"/>
              </w:rPr>
              <w:t>ommittee and upon such conditions that he may prescribe, permit through regulations the performance of specific kinds of genetic intervention that are prohibited under section 3(2).</w:t>
            </w:r>
          </w:p>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(b)</w:t>
            </w:r>
            <w:r w:rsidRPr="009E626A">
              <w:rPr>
                <w:rFonts w:ascii="Times New Roman" w:hAnsi="Times New Roman" w:cs="Times New Roman"/>
                <w:sz w:val="24"/>
                <w:szCs w:val="24"/>
              </w:rPr>
              <w:tab/>
              <w:t>The performance of a genetic interventions permitted under sub-section (a) shall be subject to advanced receipt of a permit upon conditions that shall be prescribed.</w:t>
            </w:r>
          </w:p>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(c)</w:t>
            </w:r>
            <w:r w:rsidRPr="009E626A">
              <w:rPr>
                <w:rFonts w:ascii="Times New Roman" w:hAnsi="Times New Roman" w:cs="Times New Roman"/>
                <w:sz w:val="24"/>
                <w:szCs w:val="24"/>
              </w:rPr>
              <w:tab/>
              <w:t>The Minister shall prescribe in regulations under this section the conditions for the grant of a permit, the procedure for a granting a permit, the methods of supervising and monitoring the performance of a permitted genetic intervention, and any related reporting duties.</w:t>
            </w:r>
          </w:p>
        </w:tc>
      </w:tr>
      <w:tr w:rsidR="00B87E0B" w:rsidRPr="009E626A" w:rsidTr="00B87E0B">
        <w:tc>
          <w:tcPr>
            <w:tcW w:w="2456"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Penalties</w:t>
            </w:r>
          </w:p>
        </w:tc>
        <w:tc>
          <w:tcPr>
            <w:tcW w:w="509"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6.</w:t>
            </w:r>
          </w:p>
        </w:tc>
        <w:tc>
          <w:tcPr>
            <w:tcW w:w="6840"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 xml:space="preserve">A person who commits any one of the following acts shall be liable to four years' imprisonment or a fine equal to six times the fine set in paragraph 61(a)(4) of the Penal Law 5737-1977: </w:t>
            </w:r>
          </w:p>
          <w:p w:rsidR="00C616A5" w:rsidRPr="009E626A" w:rsidRDefault="00C616A5" w:rsidP="00AA6770">
            <w:pPr>
              <w:pStyle w:val="ListParagraph"/>
              <w:numPr>
                <w:ilvl w:val="0"/>
                <w:numId w:val="3"/>
              </w:numPr>
              <w:bidi w:val="0"/>
              <w:spacing w:before="100" w:beforeAutospacing="1" w:after="100" w:afterAutospacing="1"/>
              <w:ind w:firstLine="0"/>
              <w:jc w:val="both"/>
              <w:rPr>
                <w:rFonts w:ascii="Times New Roman" w:hAnsi="Times New Roman" w:cs="Times New Roman"/>
                <w:sz w:val="24"/>
                <w:szCs w:val="24"/>
              </w:rPr>
            </w:pPr>
            <w:r w:rsidRPr="009E626A">
              <w:rPr>
                <w:rFonts w:ascii="Times New Roman" w:hAnsi="Times New Roman" w:cs="Times New Roman"/>
                <w:sz w:val="24"/>
                <w:szCs w:val="24"/>
              </w:rPr>
              <w:t>Performing human cloning (human reproductive cloning);</w:t>
            </w:r>
          </w:p>
          <w:p w:rsidR="00C616A5" w:rsidRPr="009E626A" w:rsidRDefault="00C616A5" w:rsidP="00AA6770">
            <w:pPr>
              <w:pStyle w:val="ListParagraph"/>
              <w:numPr>
                <w:ilvl w:val="0"/>
                <w:numId w:val="3"/>
              </w:numPr>
              <w:bidi w:val="0"/>
              <w:spacing w:before="100" w:beforeAutospacing="1" w:after="100" w:afterAutospacing="1"/>
              <w:ind w:firstLine="0"/>
              <w:jc w:val="both"/>
              <w:rPr>
                <w:rFonts w:ascii="Times New Roman" w:hAnsi="Times New Roman" w:cs="Times New Roman"/>
                <w:sz w:val="24"/>
                <w:szCs w:val="24"/>
              </w:rPr>
            </w:pPr>
            <w:r w:rsidRPr="009E626A">
              <w:rPr>
                <w:rFonts w:ascii="Times New Roman" w:hAnsi="Times New Roman" w:cs="Times New Roman"/>
                <w:sz w:val="24"/>
                <w:szCs w:val="24"/>
              </w:rPr>
              <w:t xml:space="preserve">Using reproductive cells that have undergone a permanent intentional </w:t>
            </w:r>
            <w:r w:rsidR="00F87C7A">
              <w:rPr>
                <w:rFonts w:ascii="Times New Roman" w:hAnsi="Times New Roman" w:cs="Times New Roman"/>
                <w:sz w:val="24"/>
                <w:szCs w:val="24"/>
              </w:rPr>
              <w:t>genetic modification (germ</w:t>
            </w:r>
            <w:r w:rsidRPr="009E626A">
              <w:rPr>
                <w:rFonts w:ascii="Times New Roman" w:hAnsi="Times New Roman" w:cs="Times New Roman"/>
                <w:sz w:val="24"/>
                <w:szCs w:val="24"/>
              </w:rPr>
              <w:t>line gene therapy) in order to cause the creation of a person, unless acting lawfully pursuant to a permit granted under section 5.</w:t>
            </w:r>
          </w:p>
        </w:tc>
      </w:tr>
      <w:tr w:rsidR="00B87E0B" w:rsidRPr="009E626A" w:rsidTr="00B87E0B">
        <w:tc>
          <w:tcPr>
            <w:tcW w:w="2456"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Preservation of Laws</w:t>
            </w:r>
          </w:p>
        </w:tc>
        <w:tc>
          <w:tcPr>
            <w:tcW w:w="509"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7.</w:t>
            </w:r>
          </w:p>
        </w:tc>
        <w:tc>
          <w:tcPr>
            <w:tcW w:w="6840"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The provisions of this law shall add to, and shall not derogate from the provisions of any law.</w:t>
            </w:r>
          </w:p>
        </w:tc>
      </w:tr>
      <w:tr w:rsidR="00B87E0B" w:rsidRPr="009E626A" w:rsidTr="00B87E0B">
        <w:tc>
          <w:tcPr>
            <w:tcW w:w="2456"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Validity</w:t>
            </w:r>
          </w:p>
        </w:tc>
        <w:tc>
          <w:tcPr>
            <w:tcW w:w="509"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8.</w:t>
            </w:r>
          </w:p>
        </w:tc>
        <w:tc>
          <w:tcPr>
            <w:tcW w:w="6840"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 xml:space="preserve">This law shall remain in force until </w:t>
            </w:r>
            <w:r w:rsidR="00F87C7A">
              <w:rPr>
                <w:rFonts w:ascii="Times New Roman" w:hAnsi="Times New Roman" w:cs="Times New Roman"/>
                <w:sz w:val="24"/>
                <w:szCs w:val="24"/>
              </w:rPr>
              <w:t xml:space="preserve">23 May </w:t>
            </w:r>
            <w:r w:rsidRPr="009E626A">
              <w:rPr>
                <w:rFonts w:ascii="Times New Roman" w:hAnsi="Times New Roman" w:cs="Times New Roman"/>
                <w:sz w:val="24"/>
                <w:szCs w:val="24"/>
              </w:rPr>
              <w:t>2020.</w:t>
            </w:r>
          </w:p>
        </w:tc>
      </w:tr>
      <w:tr w:rsidR="00B87E0B" w:rsidRPr="009E626A" w:rsidTr="00B87E0B">
        <w:tc>
          <w:tcPr>
            <w:tcW w:w="2456"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Implementation</w:t>
            </w:r>
          </w:p>
        </w:tc>
        <w:tc>
          <w:tcPr>
            <w:tcW w:w="509"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9.</w:t>
            </w:r>
          </w:p>
        </w:tc>
        <w:tc>
          <w:tcPr>
            <w:tcW w:w="6840" w:type="dxa"/>
          </w:tcPr>
          <w:p w:rsidR="00C616A5" w:rsidRPr="009E626A" w:rsidRDefault="00C616A5" w:rsidP="00AA6770">
            <w:pPr>
              <w:bidi w:val="0"/>
              <w:spacing w:before="100" w:beforeAutospacing="1" w:after="100" w:afterAutospacing="1"/>
              <w:jc w:val="both"/>
              <w:rPr>
                <w:rFonts w:ascii="Times New Roman" w:hAnsi="Times New Roman" w:cs="Times New Roman"/>
                <w:sz w:val="24"/>
                <w:szCs w:val="24"/>
              </w:rPr>
            </w:pPr>
            <w:r w:rsidRPr="009E626A">
              <w:rPr>
                <w:rFonts w:ascii="Times New Roman" w:hAnsi="Times New Roman" w:cs="Times New Roman"/>
                <w:sz w:val="24"/>
                <w:szCs w:val="24"/>
              </w:rPr>
              <w:t>The Minister shall be responsible for the implementation of this law.</w:t>
            </w:r>
          </w:p>
        </w:tc>
      </w:tr>
    </w:tbl>
    <w:p w:rsidR="00C616A5" w:rsidRPr="009E626A" w:rsidRDefault="00C616A5" w:rsidP="00AA6770">
      <w:pPr>
        <w:bidi w:val="0"/>
        <w:spacing w:before="100" w:beforeAutospacing="1" w:after="100" w:afterAutospacing="1" w:line="240" w:lineRule="auto"/>
        <w:jc w:val="both"/>
        <w:rPr>
          <w:rFonts w:ascii="Times New Roman" w:hAnsi="Times New Roman" w:cs="Times New Roman"/>
          <w:sz w:val="24"/>
          <w:szCs w:val="24"/>
          <w:rtl/>
        </w:rPr>
      </w:pPr>
    </w:p>
    <w:p w:rsidR="008F45E6" w:rsidRDefault="008F45E6" w:rsidP="00AA6770">
      <w:pPr>
        <w:spacing w:line="240" w:lineRule="auto"/>
      </w:pPr>
    </w:p>
    <w:sectPr w:rsidR="008F45E6" w:rsidSect="00856980">
      <w:footerReference w:type="default" r:id="rId7"/>
      <w:pgSz w:w="11906" w:h="16838"/>
      <w:pgMar w:top="1440" w:right="1080" w:bottom="1440" w:left="108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EF7" w:rsidRDefault="00674EF7" w:rsidP="00C616A5">
      <w:pPr>
        <w:spacing w:after="0" w:line="240" w:lineRule="auto"/>
      </w:pPr>
      <w:r>
        <w:separator/>
      </w:r>
    </w:p>
  </w:endnote>
  <w:endnote w:type="continuationSeparator" w:id="0">
    <w:p w:rsidR="00674EF7" w:rsidRDefault="00674EF7" w:rsidP="00C61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15539862"/>
      <w:docPartObj>
        <w:docPartGallery w:val="Page Numbers (Bottom of Page)"/>
        <w:docPartUnique/>
      </w:docPartObj>
    </w:sdtPr>
    <w:sdtEndPr>
      <w:rPr>
        <w:noProof/>
      </w:rPr>
    </w:sdtEndPr>
    <w:sdtContent>
      <w:p w:rsidR="00327A71" w:rsidRDefault="00047E10">
        <w:pPr>
          <w:pStyle w:val="Footer"/>
          <w:jc w:val="center"/>
        </w:pPr>
        <w:r>
          <w:fldChar w:fldCharType="begin"/>
        </w:r>
        <w:r>
          <w:instrText xml:space="preserve"> PAGE   \* MERGEFORMAT </w:instrText>
        </w:r>
        <w:r>
          <w:fldChar w:fldCharType="separate"/>
        </w:r>
        <w:r w:rsidR="00AA6770">
          <w:rPr>
            <w:noProof/>
          </w:rPr>
          <w:t>1</w:t>
        </w:r>
        <w:r>
          <w:rPr>
            <w:noProof/>
          </w:rPr>
          <w:fldChar w:fldCharType="end"/>
        </w:r>
      </w:p>
    </w:sdtContent>
  </w:sdt>
  <w:p w:rsidR="00327A71" w:rsidRDefault="00674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EF7" w:rsidRDefault="00674EF7" w:rsidP="00C616A5">
      <w:pPr>
        <w:spacing w:after="0" w:line="240" w:lineRule="auto"/>
      </w:pPr>
      <w:r>
        <w:separator/>
      </w:r>
    </w:p>
  </w:footnote>
  <w:footnote w:type="continuationSeparator" w:id="0">
    <w:p w:rsidR="00674EF7" w:rsidRDefault="00674EF7" w:rsidP="00C616A5">
      <w:pPr>
        <w:spacing w:after="0" w:line="240" w:lineRule="auto"/>
      </w:pPr>
      <w:r>
        <w:continuationSeparator/>
      </w:r>
    </w:p>
  </w:footnote>
  <w:footnote w:id="1">
    <w:p w:rsidR="00C616A5" w:rsidRPr="00F87C7A" w:rsidRDefault="00C616A5" w:rsidP="00C616A5">
      <w:pPr>
        <w:pStyle w:val="FootnoteText"/>
        <w:bidi w:val="0"/>
        <w:rPr>
          <w:rFonts w:ascii="Times New Roman" w:hAnsi="Times New Roman" w:cs="Times New Roman"/>
        </w:rPr>
      </w:pPr>
      <w:r w:rsidRPr="00F87C7A">
        <w:rPr>
          <w:rStyle w:val="FootnoteReference"/>
          <w:rFonts w:ascii="Times New Roman" w:hAnsi="Times New Roman" w:cs="Times New Roman"/>
          <w:rtl/>
        </w:rPr>
        <w:sym w:font="Symbol" w:char="F02A"/>
      </w:r>
      <w:r w:rsidRPr="00F87C7A">
        <w:rPr>
          <w:rFonts w:ascii="Times New Roman" w:hAnsi="Times New Roman" w:cs="Times New Roman"/>
          <w:rtl/>
        </w:rPr>
        <w:t xml:space="preserve"> </w:t>
      </w:r>
      <w:proofErr w:type="spellStart"/>
      <w:proofErr w:type="gramStart"/>
      <w:r w:rsidRPr="00F87C7A">
        <w:rPr>
          <w:rFonts w:ascii="Times New Roman" w:hAnsi="Times New Roman" w:cs="Times New Roman"/>
          <w:i/>
          <w:iCs/>
        </w:rPr>
        <w:t>Sefer</w:t>
      </w:r>
      <w:proofErr w:type="spellEnd"/>
      <w:r w:rsidRPr="00F87C7A">
        <w:rPr>
          <w:rFonts w:ascii="Times New Roman" w:hAnsi="Times New Roman" w:cs="Times New Roman"/>
          <w:i/>
          <w:iCs/>
        </w:rPr>
        <w:t xml:space="preserve"> </w:t>
      </w:r>
      <w:proofErr w:type="spellStart"/>
      <w:r w:rsidRPr="00F87C7A">
        <w:rPr>
          <w:rFonts w:ascii="Times New Roman" w:hAnsi="Times New Roman" w:cs="Times New Roman"/>
          <w:i/>
          <w:iCs/>
        </w:rPr>
        <w:t>Hahukim</w:t>
      </w:r>
      <w:proofErr w:type="spellEnd"/>
      <w:r w:rsidRPr="00F87C7A">
        <w:rPr>
          <w:rFonts w:ascii="Times New Roman" w:hAnsi="Times New Roman" w:cs="Times New Roman"/>
        </w:rPr>
        <w:t xml:space="preserve"> (the Book of Laws of the state of I</w:t>
      </w:r>
      <w:r w:rsidR="00F87C7A">
        <w:rPr>
          <w:rFonts w:ascii="Times New Roman" w:hAnsi="Times New Roman" w:cs="Times New Roman"/>
        </w:rPr>
        <w:t xml:space="preserve">srael) 1697, 7 January 1999: 47; </w:t>
      </w:r>
      <w:proofErr w:type="spellStart"/>
      <w:r w:rsidRPr="00F87C7A">
        <w:rPr>
          <w:rFonts w:ascii="Times New Roman" w:hAnsi="Times New Roman" w:cs="Times New Roman"/>
          <w:i/>
          <w:iCs/>
        </w:rPr>
        <w:t>Sefer</w:t>
      </w:r>
      <w:proofErr w:type="spellEnd"/>
      <w:r w:rsidRPr="00F87C7A">
        <w:rPr>
          <w:rFonts w:ascii="Times New Roman" w:hAnsi="Times New Roman" w:cs="Times New Roman"/>
          <w:i/>
          <w:iCs/>
        </w:rPr>
        <w:t xml:space="preserve"> </w:t>
      </w:r>
      <w:proofErr w:type="spellStart"/>
      <w:r w:rsidRPr="00F87C7A">
        <w:rPr>
          <w:rFonts w:ascii="Times New Roman" w:hAnsi="Times New Roman" w:cs="Times New Roman"/>
          <w:i/>
          <w:iCs/>
        </w:rPr>
        <w:t>Hahukim</w:t>
      </w:r>
      <w:proofErr w:type="spellEnd"/>
      <w:r w:rsidRPr="00F87C7A">
        <w:rPr>
          <w:rFonts w:ascii="Times New Roman" w:hAnsi="Times New Roman" w:cs="Times New Roman"/>
        </w:rPr>
        <w:t xml:space="preserve"> (the Book of Laws of the state of I</w:t>
      </w:r>
      <w:r w:rsidR="00F87C7A">
        <w:rPr>
          <w:rFonts w:ascii="Times New Roman" w:hAnsi="Times New Roman" w:cs="Times New Roman"/>
        </w:rPr>
        <w:t xml:space="preserve">srael) 1934, 31 March 2004: 340; </w:t>
      </w:r>
      <w:proofErr w:type="spellStart"/>
      <w:r w:rsidRPr="00F87C7A">
        <w:rPr>
          <w:rFonts w:ascii="Times New Roman" w:hAnsi="Times New Roman" w:cs="Times New Roman"/>
          <w:i/>
          <w:iCs/>
        </w:rPr>
        <w:t>Sefer</w:t>
      </w:r>
      <w:proofErr w:type="spellEnd"/>
      <w:r w:rsidRPr="00F87C7A">
        <w:rPr>
          <w:rFonts w:ascii="Times New Roman" w:hAnsi="Times New Roman" w:cs="Times New Roman"/>
          <w:i/>
          <w:iCs/>
        </w:rPr>
        <w:t xml:space="preserve"> </w:t>
      </w:r>
      <w:proofErr w:type="spellStart"/>
      <w:r w:rsidRPr="00F87C7A">
        <w:rPr>
          <w:rFonts w:ascii="Times New Roman" w:hAnsi="Times New Roman" w:cs="Times New Roman"/>
          <w:i/>
          <w:iCs/>
        </w:rPr>
        <w:t>Hahukim</w:t>
      </w:r>
      <w:proofErr w:type="spellEnd"/>
      <w:r w:rsidRPr="00F87C7A">
        <w:rPr>
          <w:rFonts w:ascii="Times New Roman" w:hAnsi="Times New Roman" w:cs="Times New Roman"/>
        </w:rPr>
        <w:t xml:space="preserve"> (the Book of Laws of the state of Isr</w:t>
      </w:r>
      <w:r w:rsidR="00F87C7A">
        <w:rPr>
          <w:rFonts w:ascii="Times New Roman" w:hAnsi="Times New Roman" w:cs="Times New Roman"/>
        </w:rPr>
        <w:t xml:space="preserve">ael) 2212, 22 October 2009: 233;  </w:t>
      </w:r>
      <w:proofErr w:type="spellStart"/>
      <w:r w:rsidRPr="00F87C7A">
        <w:rPr>
          <w:rFonts w:ascii="Times New Roman" w:hAnsi="Times New Roman" w:cs="Times New Roman"/>
          <w:i/>
          <w:iCs/>
        </w:rPr>
        <w:t>Sefer</w:t>
      </w:r>
      <w:proofErr w:type="spellEnd"/>
      <w:r w:rsidRPr="00F87C7A">
        <w:rPr>
          <w:rFonts w:ascii="Times New Roman" w:hAnsi="Times New Roman" w:cs="Times New Roman"/>
          <w:i/>
          <w:iCs/>
        </w:rPr>
        <w:t xml:space="preserve"> </w:t>
      </w:r>
      <w:proofErr w:type="spellStart"/>
      <w:r w:rsidRPr="00F87C7A">
        <w:rPr>
          <w:rFonts w:ascii="Times New Roman" w:hAnsi="Times New Roman" w:cs="Times New Roman"/>
          <w:i/>
          <w:iCs/>
        </w:rPr>
        <w:t>Hahukim</w:t>
      </w:r>
      <w:proofErr w:type="spellEnd"/>
      <w:r w:rsidRPr="00F87C7A">
        <w:rPr>
          <w:rFonts w:ascii="Times New Roman" w:hAnsi="Times New Roman" w:cs="Times New Roman"/>
        </w:rPr>
        <w:t xml:space="preserve"> (the Book of Laws of the state of Israel) 2553, 25 May 2016: 882.</w:t>
      </w:r>
      <w:proofErr w:type="gramEnd"/>
    </w:p>
    <w:p w:rsidR="00C616A5" w:rsidRPr="00F87C7A" w:rsidRDefault="00C616A5" w:rsidP="00C616A5">
      <w:pPr>
        <w:pStyle w:val="FootnoteText"/>
        <w:bidi w:val="0"/>
        <w:rPr>
          <w:rFonts w:ascii="Times New Roman" w:hAnsi="Times New Roman" w:cs="Times New Roman"/>
        </w:rPr>
      </w:pPr>
    </w:p>
    <w:p w:rsidR="00C616A5" w:rsidRPr="00F87C7A" w:rsidRDefault="00C616A5" w:rsidP="00C616A5">
      <w:pPr>
        <w:pStyle w:val="FootnoteText"/>
        <w:bidi w:val="0"/>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6403D"/>
    <w:multiLevelType w:val="hybridMultilevel"/>
    <w:tmpl w:val="8E361BD6"/>
    <w:lvl w:ilvl="0" w:tplc="7006F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0E59E0"/>
    <w:multiLevelType w:val="hybridMultilevel"/>
    <w:tmpl w:val="0F2C6A36"/>
    <w:lvl w:ilvl="0" w:tplc="8B5A7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B00963"/>
    <w:multiLevelType w:val="hybridMultilevel"/>
    <w:tmpl w:val="4B88FB56"/>
    <w:lvl w:ilvl="0" w:tplc="1CCC2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6A5"/>
    <w:rsid w:val="00047E10"/>
    <w:rsid w:val="001B2930"/>
    <w:rsid w:val="005D24EA"/>
    <w:rsid w:val="00674EF7"/>
    <w:rsid w:val="00804F1B"/>
    <w:rsid w:val="008808FA"/>
    <w:rsid w:val="008F45E6"/>
    <w:rsid w:val="00AA6770"/>
    <w:rsid w:val="00AE50A1"/>
    <w:rsid w:val="00B87E0B"/>
    <w:rsid w:val="00BB1EAE"/>
    <w:rsid w:val="00C616A5"/>
    <w:rsid w:val="00C644B6"/>
    <w:rsid w:val="00F8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F27F4-9D21-43A9-B1C1-A5F177CD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6A5"/>
    <w:pPr>
      <w:bidi/>
    </w:pPr>
    <w:rPr>
      <w:lang w:bidi="he-IL"/>
    </w:rPr>
  </w:style>
  <w:style w:type="paragraph" w:styleId="Heading1">
    <w:name w:val="heading 1"/>
    <w:basedOn w:val="Normal"/>
    <w:next w:val="Normal"/>
    <w:link w:val="Heading1Char"/>
    <w:uiPriority w:val="9"/>
    <w:qFormat/>
    <w:rsid w:val="00AE50A1"/>
    <w:pPr>
      <w:keepNext/>
      <w:keepLines/>
      <w:spacing w:before="240" w:after="0"/>
      <w:outlineLvl w:val="0"/>
    </w:pPr>
    <w:rPr>
      <w:rFonts w:ascii="Times New Roman" w:eastAsiaTheme="majorEastAsia" w:hAnsi="Times New Roman" w:cstheme="majorBidi"/>
      <w:caps/>
      <w:sz w:val="24"/>
      <w:szCs w:val="32"/>
    </w:rPr>
  </w:style>
  <w:style w:type="paragraph" w:styleId="Heading2">
    <w:name w:val="heading 2"/>
    <w:basedOn w:val="Normal"/>
    <w:next w:val="Normal"/>
    <w:link w:val="Heading2Char"/>
    <w:uiPriority w:val="9"/>
    <w:unhideWhenUsed/>
    <w:qFormat/>
    <w:rsid w:val="00AE50A1"/>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AE50A1"/>
    <w:pPr>
      <w:keepNext/>
      <w:keepLines/>
      <w:spacing w:before="40" w:after="0"/>
      <w:outlineLvl w:val="2"/>
    </w:pPr>
    <w:rPr>
      <w:rFonts w:ascii="Times New Roman" w:eastAsiaTheme="majorEastAsia" w:hAnsi="Times New Roman" w:cstheme="majorBidi"/>
      <w:i/>
      <w:color w:val="1F4D78" w:themeColor="accent1" w:themeShade="7F"/>
      <w:sz w:val="24"/>
      <w:szCs w:val="24"/>
    </w:rPr>
  </w:style>
  <w:style w:type="paragraph" w:styleId="Heading4">
    <w:name w:val="heading 4"/>
    <w:basedOn w:val="Normal"/>
    <w:next w:val="Normal"/>
    <w:link w:val="Heading4Char"/>
    <w:uiPriority w:val="9"/>
    <w:semiHidden/>
    <w:unhideWhenUsed/>
    <w:qFormat/>
    <w:rsid w:val="005D24EA"/>
    <w:pPr>
      <w:keepNext/>
      <w:keepLines/>
      <w:spacing w:before="40" w:after="0" w:line="360" w:lineRule="auto"/>
      <w:ind w:firstLine="360"/>
      <w:outlineLvl w:val="3"/>
    </w:pPr>
    <w:rPr>
      <w:rFonts w:ascii="Times New Roman" w:eastAsiaTheme="majorEastAsia" w:hAnsi="Times New Roman"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24EA"/>
    <w:pPr>
      <w:spacing w:after="0" w:line="240" w:lineRule="auto"/>
      <w:ind w:firstLine="360"/>
      <w:contextualSpacing/>
    </w:pPr>
    <w:rPr>
      <w:rFonts w:ascii="Times New Roman" w:eastAsiaTheme="majorEastAsia" w:hAnsi="Times New Roman" w:cstheme="majorBidi"/>
      <w:b/>
      <w:caps/>
      <w:spacing w:val="-10"/>
      <w:kern w:val="28"/>
      <w:sz w:val="28"/>
      <w:szCs w:val="56"/>
    </w:rPr>
  </w:style>
  <w:style w:type="character" w:customStyle="1" w:styleId="TitleChar">
    <w:name w:val="Title Char"/>
    <w:basedOn w:val="DefaultParagraphFont"/>
    <w:link w:val="Title"/>
    <w:uiPriority w:val="10"/>
    <w:rsid w:val="005D24EA"/>
    <w:rPr>
      <w:rFonts w:ascii="Times New Roman" w:eastAsiaTheme="majorEastAsia" w:hAnsi="Times New Roman" w:cstheme="majorBidi"/>
      <w:b/>
      <w:caps/>
      <w:spacing w:val="-10"/>
      <w:kern w:val="28"/>
      <w:sz w:val="28"/>
      <w:szCs w:val="56"/>
    </w:rPr>
  </w:style>
  <w:style w:type="character" w:customStyle="1" w:styleId="Heading1Char">
    <w:name w:val="Heading 1 Char"/>
    <w:basedOn w:val="DefaultParagraphFont"/>
    <w:link w:val="Heading1"/>
    <w:uiPriority w:val="9"/>
    <w:rsid w:val="00AE50A1"/>
    <w:rPr>
      <w:rFonts w:ascii="Times New Roman" w:eastAsiaTheme="majorEastAsia" w:hAnsi="Times New Roman" w:cstheme="majorBidi"/>
      <w:caps/>
      <w:sz w:val="24"/>
      <w:szCs w:val="32"/>
    </w:rPr>
  </w:style>
  <w:style w:type="character" w:customStyle="1" w:styleId="Heading2Char">
    <w:name w:val="Heading 2 Char"/>
    <w:basedOn w:val="DefaultParagraphFont"/>
    <w:link w:val="Heading2"/>
    <w:uiPriority w:val="9"/>
    <w:rsid w:val="00AE50A1"/>
    <w:rPr>
      <w:rFonts w:ascii="Times New Roman" w:eastAsiaTheme="majorEastAsia" w:hAnsi="Times New Roman" w:cstheme="majorBidi"/>
      <w:b/>
      <w:sz w:val="24"/>
      <w:szCs w:val="26"/>
    </w:rPr>
  </w:style>
  <w:style w:type="character" w:customStyle="1" w:styleId="Heading4Char">
    <w:name w:val="Heading 4 Char"/>
    <w:basedOn w:val="DefaultParagraphFont"/>
    <w:link w:val="Heading4"/>
    <w:uiPriority w:val="9"/>
    <w:semiHidden/>
    <w:rsid w:val="005D24EA"/>
    <w:rPr>
      <w:rFonts w:ascii="Times New Roman" w:eastAsiaTheme="majorEastAsia" w:hAnsi="Times New Roman" w:cstheme="majorBidi"/>
      <w:iCs/>
    </w:rPr>
  </w:style>
  <w:style w:type="character" w:customStyle="1" w:styleId="Heading3Char">
    <w:name w:val="Heading 3 Char"/>
    <w:basedOn w:val="DefaultParagraphFont"/>
    <w:link w:val="Heading3"/>
    <w:uiPriority w:val="9"/>
    <w:rsid w:val="00AE50A1"/>
    <w:rPr>
      <w:rFonts w:ascii="Times New Roman" w:eastAsiaTheme="majorEastAsia" w:hAnsi="Times New Roman" w:cstheme="majorBidi"/>
      <w:i/>
      <w:color w:val="1F4D78" w:themeColor="accent1" w:themeShade="7F"/>
      <w:sz w:val="24"/>
      <w:szCs w:val="24"/>
    </w:rPr>
  </w:style>
  <w:style w:type="paragraph" w:styleId="ListParagraph">
    <w:name w:val="List Paragraph"/>
    <w:basedOn w:val="Normal"/>
    <w:uiPriority w:val="34"/>
    <w:qFormat/>
    <w:rsid w:val="00C616A5"/>
    <w:pPr>
      <w:ind w:left="720"/>
      <w:contextualSpacing/>
    </w:pPr>
  </w:style>
  <w:style w:type="paragraph" w:styleId="Footer">
    <w:name w:val="footer"/>
    <w:basedOn w:val="Normal"/>
    <w:link w:val="FooterChar"/>
    <w:uiPriority w:val="99"/>
    <w:unhideWhenUsed/>
    <w:rsid w:val="00C61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6A5"/>
    <w:rPr>
      <w:lang w:bidi="he-IL"/>
    </w:rPr>
  </w:style>
  <w:style w:type="table" w:styleId="TableGrid">
    <w:name w:val="Table Grid"/>
    <w:basedOn w:val="TableNormal"/>
    <w:uiPriority w:val="39"/>
    <w:rsid w:val="00C616A5"/>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616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16A5"/>
    <w:rPr>
      <w:sz w:val="20"/>
      <w:szCs w:val="20"/>
      <w:lang w:bidi="he-IL"/>
    </w:rPr>
  </w:style>
  <w:style w:type="character" w:styleId="FootnoteReference">
    <w:name w:val="footnote reference"/>
    <w:basedOn w:val="DefaultParagraphFont"/>
    <w:uiPriority w:val="99"/>
    <w:semiHidden/>
    <w:unhideWhenUsed/>
    <w:rsid w:val="00C616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LMU</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Cesare</dc:creator>
  <cp:keywords/>
  <dc:description/>
  <cp:lastModifiedBy>Romano, Cesare</cp:lastModifiedBy>
  <cp:revision>6</cp:revision>
  <dcterms:created xsi:type="dcterms:W3CDTF">2018-07-24T16:10:00Z</dcterms:created>
  <dcterms:modified xsi:type="dcterms:W3CDTF">2018-10-22T17:02:00Z</dcterms:modified>
</cp:coreProperties>
</file>